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3E" w:rsidRPr="00A566A7" w:rsidRDefault="00827A22" w:rsidP="00827A2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66A7">
        <w:rPr>
          <w:rFonts w:ascii="Times New Roman" w:hAnsi="Times New Roman" w:cs="Times New Roman"/>
          <w:b/>
          <w:sz w:val="28"/>
          <w:szCs w:val="28"/>
        </w:rPr>
        <w:t>Чудинова</w:t>
      </w:r>
      <w:proofErr w:type="spellEnd"/>
      <w:r w:rsidRPr="00A566A7">
        <w:rPr>
          <w:rFonts w:ascii="Times New Roman" w:hAnsi="Times New Roman" w:cs="Times New Roman"/>
          <w:b/>
          <w:sz w:val="28"/>
          <w:szCs w:val="28"/>
        </w:rPr>
        <w:t xml:space="preserve"> Алла Робертовна</w:t>
      </w:r>
    </w:p>
    <w:p w:rsidR="008833D0" w:rsidRPr="00A566A7" w:rsidRDefault="00C07A15" w:rsidP="00A566A7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Реализация проекта </w:t>
      </w:r>
      <w:r w:rsidRPr="00A566A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Pr="00A566A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Сообщение как жанр устного предъявления информации»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системе работы по развитию коммуникативной компетенции учащихся основной школы</w:t>
      </w:r>
    </w:p>
    <w:p w:rsidR="008451DE" w:rsidRDefault="0032620C" w:rsidP="008833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Коммуникативная компетенция рассматривается современным образованием </w:t>
      </w:r>
      <w:r w:rsidR="000B40A9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одн</w:t>
      </w:r>
      <w:r w:rsidR="000B40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из ведущих ключевых компетенций</w:t>
      </w:r>
      <w:r w:rsidR="007F0360">
        <w:rPr>
          <w:rFonts w:ascii="Times New Roman" w:hAnsi="Times New Roman"/>
          <w:sz w:val="28"/>
          <w:szCs w:val="28"/>
        </w:rPr>
        <w:t xml:space="preserve"> </w:t>
      </w:r>
      <w:r w:rsidR="007F0360" w:rsidRPr="007F0360">
        <w:rPr>
          <w:rFonts w:ascii="Times New Roman" w:hAnsi="Times New Roman"/>
          <w:sz w:val="28"/>
          <w:szCs w:val="28"/>
        </w:rPr>
        <w:t>[</w:t>
      </w:r>
      <w:r w:rsidR="007F0360">
        <w:rPr>
          <w:rFonts w:ascii="Times New Roman" w:hAnsi="Times New Roman"/>
          <w:sz w:val="28"/>
          <w:szCs w:val="28"/>
        </w:rPr>
        <w:t>3</w:t>
      </w:r>
      <w:r w:rsidR="007F0360" w:rsidRPr="007F036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выделяется она и наряду с языковой, лингвистической</w:t>
      </w:r>
      <w:r w:rsidR="002E799E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00BAC">
        <w:rPr>
          <w:rFonts w:ascii="Times New Roman" w:hAnsi="Times New Roman"/>
          <w:sz w:val="28"/>
          <w:szCs w:val="28"/>
        </w:rPr>
        <w:t>в качестве компетенции предметной</w:t>
      </w:r>
      <w:r w:rsidR="007F0360">
        <w:rPr>
          <w:rFonts w:ascii="Times New Roman" w:hAnsi="Times New Roman"/>
          <w:sz w:val="28"/>
          <w:szCs w:val="28"/>
        </w:rPr>
        <w:t xml:space="preserve"> </w:t>
      </w:r>
      <w:r w:rsidR="007F0360" w:rsidRPr="007F0360">
        <w:rPr>
          <w:rFonts w:ascii="Times New Roman" w:hAnsi="Times New Roman"/>
          <w:sz w:val="28"/>
          <w:szCs w:val="28"/>
        </w:rPr>
        <w:t>[</w:t>
      </w:r>
      <w:r w:rsidR="007F0360">
        <w:rPr>
          <w:rFonts w:ascii="Times New Roman" w:hAnsi="Times New Roman"/>
          <w:sz w:val="28"/>
          <w:szCs w:val="28"/>
        </w:rPr>
        <w:t>2</w:t>
      </w:r>
      <w:r w:rsidR="007F0360" w:rsidRPr="007F0360">
        <w:rPr>
          <w:rFonts w:ascii="Times New Roman" w:hAnsi="Times New Roman"/>
          <w:sz w:val="28"/>
          <w:szCs w:val="28"/>
        </w:rPr>
        <w:t>]</w:t>
      </w:r>
      <w:r w:rsidR="00E00BAC">
        <w:rPr>
          <w:rFonts w:ascii="Times New Roman" w:hAnsi="Times New Roman"/>
          <w:sz w:val="28"/>
          <w:szCs w:val="28"/>
        </w:rPr>
        <w:t xml:space="preserve">. </w:t>
      </w:r>
      <w:r w:rsidR="00FA63B2" w:rsidRPr="0089721D">
        <w:rPr>
          <w:rFonts w:ascii="Times New Roman" w:hAnsi="Times New Roman"/>
          <w:sz w:val="28"/>
          <w:szCs w:val="28"/>
        </w:rPr>
        <w:t xml:space="preserve">Основная школа </w:t>
      </w:r>
      <w:r w:rsidR="00FA63B2">
        <w:rPr>
          <w:rFonts w:ascii="Times New Roman" w:hAnsi="Times New Roman"/>
          <w:sz w:val="28"/>
          <w:szCs w:val="28"/>
        </w:rPr>
        <w:t>- очень</w:t>
      </w:r>
      <w:r w:rsidR="00FA63B2" w:rsidRPr="0089721D">
        <w:rPr>
          <w:rFonts w:ascii="Times New Roman" w:hAnsi="Times New Roman"/>
          <w:sz w:val="28"/>
          <w:szCs w:val="28"/>
        </w:rPr>
        <w:t xml:space="preserve"> благоприятны</w:t>
      </w:r>
      <w:r w:rsidR="00FA63B2">
        <w:rPr>
          <w:rFonts w:ascii="Times New Roman" w:hAnsi="Times New Roman"/>
          <w:sz w:val="28"/>
          <w:szCs w:val="28"/>
        </w:rPr>
        <w:t>й период</w:t>
      </w:r>
      <w:r w:rsidR="00FA63B2" w:rsidRPr="0089721D">
        <w:rPr>
          <w:rFonts w:ascii="Times New Roman" w:hAnsi="Times New Roman"/>
          <w:sz w:val="28"/>
          <w:szCs w:val="28"/>
        </w:rPr>
        <w:t xml:space="preserve"> развития коммуникативных способностей личности, так как именно в подрост</w:t>
      </w:r>
      <w:r w:rsidR="00FA63B2" w:rsidRPr="0089721D">
        <w:rPr>
          <w:rFonts w:ascii="Times New Roman" w:hAnsi="Times New Roman"/>
          <w:sz w:val="28"/>
          <w:szCs w:val="28"/>
        </w:rPr>
        <w:softHyphen/>
        <w:t xml:space="preserve">ковом возрасте, который приходится на этот период, ведущей деятельностью ребёнка становится общение. </w:t>
      </w:r>
      <w:r w:rsidR="00FA63B2">
        <w:rPr>
          <w:rFonts w:ascii="Times New Roman" w:hAnsi="Times New Roman"/>
          <w:sz w:val="28"/>
          <w:szCs w:val="28"/>
        </w:rPr>
        <w:t xml:space="preserve">В то же время развитие любой компетенции </w:t>
      </w:r>
      <w:r w:rsidR="000B40A9">
        <w:rPr>
          <w:rFonts w:ascii="Times New Roman" w:hAnsi="Times New Roman"/>
          <w:sz w:val="28"/>
          <w:szCs w:val="28"/>
        </w:rPr>
        <w:t xml:space="preserve">невозможно вне </w:t>
      </w:r>
      <w:r w:rsidR="00FA63B2">
        <w:rPr>
          <w:rFonts w:ascii="Times New Roman" w:hAnsi="Times New Roman"/>
          <w:sz w:val="28"/>
          <w:szCs w:val="28"/>
        </w:rPr>
        <w:t>практической деятельности. Именно поэтому значительное влияние на развитие коммуникативной компетентности учащихся может оказать метод проектов.</w:t>
      </w:r>
    </w:p>
    <w:p w:rsidR="008833D0" w:rsidRDefault="008833D0" w:rsidP="008833D0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Приведём в качестве примера, иллюстрирующего роль проектного метода в развитии коммуникативной компетенции восьмиклассников, проект «Со</w:t>
      </w:r>
      <w:r w:rsidRPr="00FA0540">
        <w:rPr>
          <w:rFonts w:ascii="Times New Roman" w:hAnsi="Times New Roman"/>
          <w:sz w:val="28"/>
          <w:szCs w:val="28"/>
        </w:rPr>
        <w:t xml:space="preserve">общение как жанр устного предъявления информации».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3084"/>
        <w:gridCol w:w="6312"/>
      </w:tblGrid>
      <w:tr w:rsidR="008833D0" w:rsidRPr="0089721D" w:rsidTr="0000169E">
        <w:tc>
          <w:tcPr>
            <w:tcW w:w="458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8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4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83B">
              <w:rPr>
                <w:rFonts w:ascii="Times New Roman" w:hAnsi="Times New Roman"/>
                <w:b/>
                <w:sz w:val="24"/>
                <w:szCs w:val="24"/>
              </w:rPr>
              <w:t>Характеристики проекта</w:t>
            </w:r>
          </w:p>
        </w:tc>
        <w:tc>
          <w:tcPr>
            <w:tcW w:w="6312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83B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</w:t>
            </w:r>
          </w:p>
        </w:tc>
      </w:tr>
      <w:tr w:rsidR="008833D0" w:rsidRPr="0089721D" w:rsidTr="0000169E">
        <w:tc>
          <w:tcPr>
            <w:tcW w:w="458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4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6312" w:type="dxa"/>
          </w:tcPr>
          <w:p w:rsidR="008833D0" w:rsidRPr="000E786F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8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«Сообщение как жанр устного предъявления информации».</w:t>
            </w:r>
          </w:p>
        </w:tc>
      </w:tr>
      <w:tr w:rsidR="008833D0" w:rsidRPr="0089721D" w:rsidTr="0000169E">
        <w:tc>
          <w:tcPr>
            <w:tcW w:w="458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084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>Вид проекта</w:t>
            </w:r>
          </w:p>
        </w:tc>
        <w:tc>
          <w:tcPr>
            <w:tcW w:w="6312" w:type="dxa"/>
          </w:tcPr>
          <w:p w:rsidR="008833D0" w:rsidRPr="004857A4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29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Практико-ориентированный</w:t>
            </w:r>
          </w:p>
        </w:tc>
      </w:tr>
      <w:tr w:rsidR="008833D0" w:rsidRPr="0089721D" w:rsidTr="0000169E">
        <w:tc>
          <w:tcPr>
            <w:tcW w:w="458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4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 xml:space="preserve">Форма участия </w:t>
            </w:r>
          </w:p>
        </w:tc>
        <w:tc>
          <w:tcPr>
            <w:tcW w:w="6312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</w:tr>
      <w:tr w:rsidR="008833D0" w:rsidRPr="0089721D" w:rsidTr="0000169E">
        <w:tc>
          <w:tcPr>
            <w:tcW w:w="458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3084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 xml:space="preserve">Проблема </w:t>
            </w:r>
          </w:p>
        </w:tc>
        <w:tc>
          <w:tcPr>
            <w:tcW w:w="6312" w:type="dxa"/>
          </w:tcPr>
          <w:p w:rsidR="008833D0" w:rsidRPr="004857A4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A4">
              <w:rPr>
                <w:rFonts w:ascii="Times New Roman" w:hAnsi="Times New Roman"/>
                <w:sz w:val="24"/>
                <w:szCs w:val="24"/>
              </w:rPr>
              <w:t>Отсутствие у школьников системного представления о жанре сообщения, о способах его подготовки, предъявления и оценки.</w:t>
            </w:r>
          </w:p>
        </w:tc>
      </w:tr>
      <w:tr w:rsidR="008833D0" w:rsidRPr="0089721D" w:rsidTr="0000169E">
        <w:tc>
          <w:tcPr>
            <w:tcW w:w="458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4" w:type="dxa"/>
          </w:tcPr>
          <w:p w:rsidR="008833D0" w:rsidRPr="007B583B" w:rsidRDefault="008833D0" w:rsidP="0000169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83B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312" w:type="dxa"/>
          </w:tcPr>
          <w:p w:rsidR="008833D0" w:rsidRPr="00415293" w:rsidRDefault="008833D0" w:rsidP="0000169E">
            <w:pPr>
              <w:tabs>
                <w:tab w:val="left" w:pos="709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5293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Изучение законов создания, предъявления и оценки  текстов, относящихся к жанру сообщение.</w:t>
            </w:r>
            <w:r w:rsidRPr="00415293">
              <w:rPr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833D0" w:rsidRDefault="008833D0" w:rsidP="00C353F5">
      <w:pPr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7333">
        <w:rPr>
          <w:rFonts w:ascii="Times New Roman" w:hAnsi="Times New Roman"/>
          <w:b/>
          <w:sz w:val="28"/>
          <w:szCs w:val="28"/>
        </w:rPr>
        <w:t>На первом этапе</w:t>
      </w:r>
      <w:r>
        <w:rPr>
          <w:rFonts w:ascii="Times New Roman" w:hAnsi="Times New Roman"/>
          <w:sz w:val="28"/>
          <w:szCs w:val="28"/>
        </w:rPr>
        <w:t xml:space="preserve"> реализации проекта учащимся предлагается сравнить три текста, каждый из которых представляет собой одну из разновидностей</w:t>
      </w:r>
      <w:r w:rsidRPr="00B346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сообщения. Учебные сообщения были составлены преподавателем </w:t>
      </w:r>
      <w:r>
        <w:rPr>
          <w:rFonts w:ascii="Times New Roman" w:hAnsi="Times New Roman"/>
          <w:sz w:val="28"/>
          <w:szCs w:val="28"/>
        </w:rPr>
        <w:lastRenderedPageBreak/>
        <w:t xml:space="preserve">самостоятельно по причине отсутствия в методической и справочной литературе образцов текстов этого жанра. В процессе подготовки текстов сообщений в качестве теоретической основы типологии жанра учебного сообщения мы опирались на материалы диссертационного исследования И.В. </w:t>
      </w:r>
      <w:r w:rsidRPr="007F0360">
        <w:rPr>
          <w:rFonts w:ascii="Times New Roman" w:hAnsi="Times New Roman"/>
          <w:sz w:val="28"/>
          <w:szCs w:val="28"/>
        </w:rPr>
        <w:t>[</w:t>
      </w:r>
      <w:r w:rsidR="007F0360">
        <w:rPr>
          <w:rFonts w:ascii="Times New Roman" w:hAnsi="Times New Roman"/>
          <w:sz w:val="28"/>
          <w:szCs w:val="28"/>
        </w:rPr>
        <w:t>1</w:t>
      </w:r>
      <w:r w:rsidRPr="007F036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Содержательной основой для сообщений послужили статьи из лингвистических энциклопедий по русскому языку для школьников. Тематика сообщений продиктована программой по русскому языку и литературе 8 – 9 </w:t>
      </w:r>
      <w:r w:rsidRPr="007F0354">
        <w:rPr>
          <w:rFonts w:ascii="Times New Roman" w:hAnsi="Times New Roman"/>
          <w:sz w:val="28"/>
          <w:szCs w:val="28"/>
        </w:rPr>
        <w:t>классов: «Функции знаков препинания», «</w:t>
      </w:r>
      <w:r w:rsidRPr="007F035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Сравнительный анализ стихотворения А.С. Пушкина «Пророк» и стихотворения М.Ю. Лермонтова «Пророк»»</w:t>
      </w:r>
      <w:r w:rsidR="007F0354" w:rsidRPr="007F0354">
        <w:rPr>
          <w:rFonts w:ascii="Times New Roman" w:hAnsi="Times New Roman"/>
          <w:sz w:val="28"/>
          <w:szCs w:val="28"/>
        </w:rPr>
        <w:t xml:space="preserve"> и «Лингвистические перебежчики»</w:t>
      </w:r>
      <w:r w:rsidR="00C353F5">
        <w:rPr>
          <w:rFonts w:ascii="Times New Roman" w:hAnsi="Times New Roman"/>
          <w:sz w:val="28"/>
          <w:szCs w:val="28"/>
        </w:rPr>
        <w:t xml:space="preserve"> (о явлении перехода нарицательных имён существительных в категорию собственных и наоборот)</w:t>
      </w:r>
      <w:r w:rsidR="007F0354">
        <w:rPr>
          <w:rFonts w:ascii="Times New Roman" w:hAnsi="Times New Roman"/>
          <w:sz w:val="28"/>
          <w:szCs w:val="28"/>
        </w:rPr>
        <w:t>.</w:t>
      </w:r>
    </w:p>
    <w:p w:rsidR="008833D0" w:rsidRPr="00CD6A8C" w:rsidRDefault="008833D0" w:rsidP="007F035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классификации, предложенной И.В. Николаенко </w:t>
      </w:r>
      <w:r w:rsidRPr="007F0360">
        <w:rPr>
          <w:rFonts w:ascii="Times New Roman" w:hAnsi="Times New Roman"/>
          <w:sz w:val="28"/>
          <w:szCs w:val="28"/>
        </w:rPr>
        <w:t>[</w:t>
      </w:r>
      <w:r w:rsidR="007F0360">
        <w:rPr>
          <w:rFonts w:ascii="Times New Roman" w:hAnsi="Times New Roman"/>
          <w:sz w:val="28"/>
          <w:szCs w:val="28"/>
        </w:rPr>
        <w:t>1</w:t>
      </w:r>
      <w:r w:rsidRPr="007F036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, текст №1 является учебно-научным сообщением на основе классификации, текст №2 – учебно-научным на основе сопоставления, текст №3 – научно-популярным сообщением. В процессе групповой работы (сравнительного анализа предложенных текстов, обращения к дополнительным материалам по теме) участники составляют теоретическую таблицу, которая отражает их представления о видах жанра учебного сообщения</w:t>
      </w:r>
      <w:r w:rsidR="007F0354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7F0354" w:rsidRPr="007F0354">
        <w:rPr>
          <w:rFonts w:ascii="Times New Roman" w:hAnsi="Times New Roman"/>
          <w:sz w:val="28"/>
          <w:szCs w:val="28"/>
        </w:rPr>
        <w:t>см</w:t>
      </w:r>
      <w:proofErr w:type="gramEnd"/>
      <w:r w:rsidR="007F0354" w:rsidRPr="007F0354">
        <w:rPr>
          <w:rFonts w:ascii="Times New Roman" w:hAnsi="Times New Roman"/>
          <w:sz w:val="28"/>
          <w:szCs w:val="28"/>
        </w:rPr>
        <w:t>. табл. 1</w:t>
      </w:r>
      <w:r w:rsidR="007F0354">
        <w:rPr>
          <w:rFonts w:ascii="Times New Roman" w:hAnsi="Times New Roman"/>
          <w:sz w:val="28"/>
          <w:szCs w:val="28"/>
        </w:rPr>
        <w:t>)</w:t>
      </w:r>
    </w:p>
    <w:p w:rsidR="008833D0" w:rsidRDefault="008833D0" w:rsidP="008833D0">
      <w:pPr>
        <w:spacing w:after="0" w:line="36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Таблица </w:t>
      </w:r>
      <w:r w:rsidR="007F0354">
        <w:rPr>
          <w:rFonts w:ascii="Times New Roman" w:hAnsi="Times New Roman"/>
          <w:i/>
          <w:sz w:val="28"/>
          <w:szCs w:val="28"/>
        </w:rPr>
        <w:t>1</w:t>
      </w:r>
    </w:p>
    <w:p w:rsidR="008833D0" w:rsidRPr="00601346" w:rsidRDefault="008833D0" w:rsidP="002E79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учебного сообщения</w:t>
      </w:r>
    </w:p>
    <w:tbl>
      <w:tblPr>
        <w:tblpPr w:leftFromText="180" w:rightFromText="180" w:vertAnchor="text" w:horzAnchor="margin" w:tblpXSpec="center" w:tblpY="3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2846"/>
        <w:gridCol w:w="2966"/>
        <w:gridCol w:w="2551"/>
      </w:tblGrid>
      <w:tr w:rsidR="008833D0" w:rsidRPr="00633E65" w:rsidTr="0000169E">
        <w:trPr>
          <w:trHeight w:val="272"/>
        </w:trPr>
        <w:tc>
          <w:tcPr>
            <w:tcW w:w="1526" w:type="dxa"/>
          </w:tcPr>
          <w:p w:rsidR="008833D0" w:rsidRPr="007F0354" w:rsidRDefault="008833D0" w:rsidP="002E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54"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  <w:proofErr w:type="gramStart"/>
            <w:r w:rsidRPr="007F0354">
              <w:rPr>
                <w:rFonts w:ascii="Times New Roman" w:hAnsi="Times New Roman"/>
                <w:b/>
                <w:sz w:val="24"/>
                <w:szCs w:val="24"/>
              </w:rPr>
              <w:t>для</w:t>
            </w:r>
            <w:proofErr w:type="gramEnd"/>
          </w:p>
          <w:p w:rsidR="008833D0" w:rsidRPr="007F0354" w:rsidRDefault="008833D0" w:rsidP="002E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54">
              <w:rPr>
                <w:rFonts w:ascii="Times New Roman" w:hAnsi="Times New Roman"/>
                <w:b/>
                <w:sz w:val="24"/>
                <w:szCs w:val="24"/>
              </w:rPr>
              <w:t>сравнения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54">
              <w:rPr>
                <w:rFonts w:ascii="Times New Roman" w:hAnsi="Times New Roman"/>
                <w:b/>
                <w:sz w:val="24"/>
                <w:szCs w:val="24"/>
              </w:rPr>
              <w:t>Научно-популярное сообщение</w:t>
            </w:r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54">
              <w:rPr>
                <w:rFonts w:ascii="Times New Roman" w:hAnsi="Times New Roman"/>
                <w:b/>
                <w:sz w:val="24"/>
                <w:szCs w:val="24"/>
              </w:rPr>
              <w:t>Учебно-научное сообщение (на основе сопоставления)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354">
              <w:rPr>
                <w:rFonts w:ascii="Times New Roman" w:hAnsi="Times New Roman"/>
                <w:b/>
                <w:sz w:val="24"/>
                <w:szCs w:val="24"/>
              </w:rPr>
              <w:t>Учебно-научное сообщение (на основе классификации)</w:t>
            </w:r>
          </w:p>
        </w:tc>
      </w:tr>
      <w:tr w:rsidR="008833D0" w:rsidRPr="00633E65" w:rsidTr="0000169E">
        <w:trPr>
          <w:trHeight w:val="284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Цель высказывания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Проинформировать, вызвать интерес слушателя</w:t>
            </w:r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Проинформировать о чем-либо, выявить сходства и отличия нескольких объектов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 xml:space="preserve">Проинформировать о чем-либо, систематизировать объекты </w:t>
            </w:r>
          </w:p>
        </w:tc>
      </w:tr>
      <w:tr w:rsidR="008833D0" w:rsidRPr="00633E65" w:rsidTr="0000169E">
        <w:trPr>
          <w:trHeight w:val="284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Стиль речи (</w:t>
            </w:r>
            <w:proofErr w:type="spellStart"/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подстиль</w:t>
            </w:r>
            <w:proofErr w:type="spellEnd"/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Научный (научно-популярный)</w:t>
            </w:r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Научный (учебно-научный)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Научный (учебно-научный)</w:t>
            </w:r>
          </w:p>
        </w:tc>
      </w:tr>
      <w:tr w:rsidR="008833D0" w:rsidRPr="00633E65" w:rsidTr="0000169E">
        <w:trPr>
          <w:trHeight w:val="284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Адресат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 xml:space="preserve">Заинтересованный слушатель, находящийся в учебной и </w:t>
            </w:r>
            <w:proofErr w:type="spellStart"/>
            <w:r w:rsidRPr="007F0354"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 w:rsidRPr="007F0354"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Заинтересованный слушатель, находящийся в учебной ситуации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Заинтересованный слушатель, находящийся в учебной ситуации</w:t>
            </w:r>
          </w:p>
        </w:tc>
      </w:tr>
      <w:tr w:rsidR="008833D0" w:rsidRPr="00633E65" w:rsidTr="0000169E">
        <w:trPr>
          <w:trHeight w:val="284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Композиция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354">
              <w:rPr>
                <w:rFonts w:ascii="Times New Roman" w:hAnsi="Times New Roman"/>
                <w:sz w:val="24"/>
                <w:szCs w:val="24"/>
              </w:rPr>
              <w:t>Трехчастный текст (вступление - интересный факт, призванный привлечь внимание слушателей, основная часть – образно и доступно изложенная информация, сопровождаемая большим количеством примеров, заключение – обобщение, выводы), возможна композиционная инверсия.</w:t>
            </w:r>
            <w:proofErr w:type="gramEnd"/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Трехчастный текст (вступление - объекты сравнения, основная часть - само сравнение с предварительным выявлением параметров сравнения, заключение - выводы, сделанные по результатам сравнения)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 xml:space="preserve">Трёхчастный текст (во вступлении называется классифицируемое понятие, в основной части приводится классификация, количество </w:t>
            </w:r>
            <w:proofErr w:type="spellStart"/>
            <w:r w:rsidRPr="007F0354">
              <w:rPr>
                <w:rFonts w:ascii="Times New Roman" w:hAnsi="Times New Roman"/>
                <w:sz w:val="24"/>
                <w:szCs w:val="24"/>
              </w:rPr>
              <w:t>микротем</w:t>
            </w:r>
            <w:proofErr w:type="spellEnd"/>
            <w:r w:rsidRPr="007F0354">
              <w:rPr>
                <w:rFonts w:ascii="Times New Roman" w:hAnsi="Times New Roman"/>
                <w:sz w:val="24"/>
                <w:szCs w:val="24"/>
              </w:rPr>
              <w:t xml:space="preserve"> основной части зависит от выделенных классификационных групп, заключение – выводы, сделанные по результатам классификации).</w:t>
            </w:r>
          </w:p>
        </w:tc>
      </w:tr>
      <w:tr w:rsidR="008833D0" w:rsidRPr="00633E65" w:rsidTr="0000169E">
        <w:trPr>
          <w:trHeight w:val="272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Заголовок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Эмоциональный, рекламный</w:t>
            </w:r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54">
              <w:rPr>
                <w:rFonts w:ascii="Times New Roman" w:hAnsi="Times New Roman"/>
                <w:sz w:val="24"/>
                <w:szCs w:val="24"/>
              </w:rPr>
              <w:t>Безэмоциональный</w:t>
            </w:r>
            <w:proofErr w:type="spellEnd"/>
            <w:r w:rsidRPr="007F0354">
              <w:rPr>
                <w:rFonts w:ascii="Times New Roman" w:hAnsi="Times New Roman"/>
                <w:sz w:val="24"/>
                <w:szCs w:val="24"/>
              </w:rPr>
              <w:t>,  конкретный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54">
              <w:rPr>
                <w:rFonts w:ascii="Times New Roman" w:hAnsi="Times New Roman"/>
                <w:sz w:val="24"/>
                <w:szCs w:val="24"/>
              </w:rPr>
              <w:t>Безэмоциональный</w:t>
            </w:r>
            <w:proofErr w:type="spellEnd"/>
            <w:r w:rsidRPr="007F0354">
              <w:rPr>
                <w:rFonts w:ascii="Times New Roman" w:hAnsi="Times New Roman"/>
                <w:sz w:val="24"/>
                <w:szCs w:val="24"/>
              </w:rPr>
              <w:t>,  конкретный</w:t>
            </w:r>
          </w:p>
        </w:tc>
      </w:tr>
      <w:tr w:rsidR="008833D0" w:rsidRPr="00633E65" w:rsidTr="0000169E">
        <w:trPr>
          <w:trHeight w:val="284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Лингвистические особенности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354">
              <w:rPr>
                <w:rFonts w:ascii="Times New Roman" w:hAnsi="Times New Roman"/>
                <w:sz w:val="24"/>
                <w:szCs w:val="24"/>
              </w:rPr>
              <w:t>Подчеркнутая диалогичность: эмоционально окрашенные (вопросительные, восклицательные) предложения, обращения, риторические вопросы и обращения, личные местоимения и глаголы в форме 1 л. мн.ч.</w:t>
            </w:r>
            <w:proofErr w:type="gramEnd"/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Цитирование, подчеркнутая логичность (вводные слова, причинные союзы), научная терминология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Цитирование, подчеркнутая логичность (вводные слова, причинные союзы), научная терминология</w:t>
            </w:r>
          </w:p>
        </w:tc>
      </w:tr>
      <w:tr w:rsidR="008833D0" w:rsidRPr="00633E65" w:rsidTr="0000169E">
        <w:trPr>
          <w:trHeight w:val="298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Источники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Публицистика, научно-популярная литература</w:t>
            </w:r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Научные статьи, словари, энциклопедии, цитаты из текстов (объектов сравнения)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0354">
              <w:rPr>
                <w:rFonts w:ascii="Times New Roman" w:hAnsi="Times New Roman"/>
                <w:sz w:val="24"/>
                <w:szCs w:val="24"/>
              </w:rPr>
              <w:t>Научные статьи, словари, энциклопедии, цитаты из текстов.</w:t>
            </w:r>
          </w:p>
        </w:tc>
      </w:tr>
      <w:tr w:rsidR="008833D0" w:rsidRPr="00633E65" w:rsidTr="0000169E">
        <w:trPr>
          <w:trHeight w:val="298"/>
        </w:trPr>
        <w:tc>
          <w:tcPr>
            <w:tcW w:w="152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F0354">
              <w:rPr>
                <w:rFonts w:ascii="Times New Roman" w:hAnsi="Times New Roman"/>
                <w:i/>
                <w:sz w:val="24"/>
                <w:szCs w:val="24"/>
              </w:rPr>
              <w:t>Исполнение</w:t>
            </w:r>
          </w:p>
        </w:tc>
        <w:tc>
          <w:tcPr>
            <w:tcW w:w="284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F0354">
              <w:rPr>
                <w:rFonts w:ascii="Times New Roman" w:hAnsi="Times New Roman"/>
                <w:sz w:val="24"/>
                <w:szCs w:val="24"/>
              </w:rPr>
              <w:t>Эмоциональное</w:t>
            </w:r>
            <w:proofErr w:type="gramEnd"/>
            <w:r w:rsidRPr="007F0354">
              <w:rPr>
                <w:rFonts w:ascii="Times New Roman" w:hAnsi="Times New Roman"/>
                <w:sz w:val="24"/>
                <w:szCs w:val="24"/>
              </w:rPr>
              <w:t xml:space="preserve">, доступное пониманию, апеллирующее к мнению   слушателей </w:t>
            </w:r>
          </w:p>
        </w:tc>
        <w:tc>
          <w:tcPr>
            <w:tcW w:w="2966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54">
              <w:rPr>
                <w:rFonts w:ascii="Times New Roman" w:hAnsi="Times New Roman"/>
                <w:sz w:val="24"/>
                <w:szCs w:val="24"/>
              </w:rPr>
              <w:t>Малоэмоциональная</w:t>
            </w:r>
            <w:proofErr w:type="spellEnd"/>
            <w:r w:rsidRPr="007F0354">
              <w:rPr>
                <w:rFonts w:ascii="Times New Roman" w:hAnsi="Times New Roman"/>
                <w:sz w:val="24"/>
                <w:szCs w:val="24"/>
              </w:rPr>
              <w:t xml:space="preserve"> манера изложения, подчёркнутая с помощью интонации логичность</w:t>
            </w:r>
          </w:p>
        </w:tc>
        <w:tc>
          <w:tcPr>
            <w:tcW w:w="2551" w:type="dxa"/>
          </w:tcPr>
          <w:p w:rsidR="008833D0" w:rsidRPr="007F0354" w:rsidRDefault="008833D0" w:rsidP="002E79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0354">
              <w:rPr>
                <w:rFonts w:ascii="Times New Roman" w:hAnsi="Times New Roman"/>
                <w:sz w:val="24"/>
                <w:szCs w:val="24"/>
              </w:rPr>
              <w:t>Малоэмоциональная</w:t>
            </w:r>
            <w:proofErr w:type="spellEnd"/>
            <w:r w:rsidRPr="007F0354">
              <w:rPr>
                <w:rFonts w:ascii="Times New Roman" w:hAnsi="Times New Roman"/>
                <w:sz w:val="24"/>
                <w:szCs w:val="24"/>
              </w:rPr>
              <w:t xml:space="preserve"> манера изложения, подчёркнутая с помощью интонации логичность</w:t>
            </w:r>
          </w:p>
        </w:tc>
      </w:tr>
    </w:tbl>
    <w:p w:rsidR="00A84F61" w:rsidRPr="00A84F61" w:rsidRDefault="008833D0" w:rsidP="00C353F5">
      <w:pPr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B4928">
        <w:rPr>
          <w:rFonts w:ascii="Times New Roman" w:hAnsi="Times New Roman"/>
          <w:b/>
          <w:sz w:val="28"/>
          <w:szCs w:val="28"/>
        </w:rPr>
        <w:t>На втором этапе</w:t>
      </w:r>
      <w:r>
        <w:rPr>
          <w:rFonts w:ascii="Times New Roman" w:hAnsi="Times New Roman"/>
          <w:sz w:val="28"/>
          <w:szCs w:val="28"/>
        </w:rPr>
        <w:t xml:space="preserve"> с опорой на разработанную таблицу каждый учащийся составляет авторский текст одной из разновидностей жанра сообщения. Для того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чтобы сделать отличия между различными видами сообщений более наглядными, учащимся предлагается ограничиться рамками одной темы – фразеологизмы.</w:t>
      </w:r>
      <w:r w:rsidR="007F03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Составленные учащимися тексты анализируются и </w:t>
      </w:r>
      <w:r>
        <w:rPr>
          <w:rFonts w:ascii="Times New Roman" w:hAnsi="Times New Roman"/>
          <w:sz w:val="28"/>
          <w:szCs w:val="28"/>
        </w:rPr>
        <w:lastRenderedPageBreak/>
        <w:t xml:space="preserve">оцениваются </w:t>
      </w:r>
      <w:r w:rsidR="007F0360">
        <w:rPr>
          <w:rFonts w:ascii="Times New Roman" w:hAnsi="Times New Roman"/>
          <w:sz w:val="28"/>
          <w:szCs w:val="28"/>
        </w:rPr>
        <w:t xml:space="preserve">группой одноклассников </w:t>
      </w:r>
      <w:r>
        <w:rPr>
          <w:rFonts w:ascii="Times New Roman" w:hAnsi="Times New Roman"/>
          <w:sz w:val="28"/>
          <w:szCs w:val="28"/>
        </w:rPr>
        <w:t xml:space="preserve">в соответствии с параметрами, указанными в таблице </w:t>
      </w:r>
      <w:r w:rsidR="007F035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7F0360">
        <w:rPr>
          <w:rFonts w:ascii="Times New Roman" w:hAnsi="Times New Roman"/>
          <w:sz w:val="28"/>
          <w:szCs w:val="28"/>
        </w:rPr>
        <w:t xml:space="preserve">Промежуточный текстовый продукт, полученный на втором этапе проекта, </w:t>
      </w:r>
      <w:r w:rsidR="00A84F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позволя</w:t>
      </w:r>
      <w:r w:rsidR="007F03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A84F6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 проследить уровень освоения таких коммуникативных умений, как о</w:t>
      </w:r>
      <w:r w:rsidR="00A84F61" w:rsidRPr="00A84F61">
        <w:rPr>
          <w:rFonts w:ascii="Times New Roman" w:hAnsi="Times New Roman"/>
          <w:sz w:val="28"/>
          <w:szCs w:val="28"/>
        </w:rPr>
        <w:t xml:space="preserve">существление осознанного выбора языковых средств, используемых для создания собственного высказывания, </w:t>
      </w:r>
      <w:r w:rsidR="007F0360">
        <w:rPr>
          <w:rFonts w:ascii="Times New Roman" w:hAnsi="Times New Roman"/>
          <w:sz w:val="28"/>
          <w:szCs w:val="28"/>
        </w:rPr>
        <w:t>с</w:t>
      </w:r>
      <w:r w:rsidR="00A84F61" w:rsidRPr="00A84F61">
        <w:rPr>
          <w:rFonts w:ascii="Times New Roman" w:hAnsi="Times New Roman"/>
          <w:sz w:val="28"/>
          <w:szCs w:val="28"/>
        </w:rPr>
        <w:t>оздание письменного монологического высказывания учебно-научной тематики (</w:t>
      </w:r>
      <w:r w:rsidR="007F0360">
        <w:rPr>
          <w:rFonts w:ascii="Times New Roman" w:hAnsi="Times New Roman"/>
          <w:sz w:val="28"/>
          <w:szCs w:val="28"/>
        </w:rPr>
        <w:t>составляющие предметной</w:t>
      </w:r>
      <w:r w:rsidR="00A84F61" w:rsidRPr="00A84F61">
        <w:rPr>
          <w:rFonts w:ascii="Times New Roman" w:hAnsi="Times New Roman"/>
          <w:sz w:val="28"/>
          <w:szCs w:val="28"/>
        </w:rPr>
        <w:t xml:space="preserve"> коммуникативн</w:t>
      </w:r>
      <w:r w:rsidR="007F0360">
        <w:rPr>
          <w:rFonts w:ascii="Times New Roman" w:hAnsi="Times New Roman"/>
          <w:sz w:val="28"/>
          <w:szCs w:val="28"/>
        </w:rPr>
        <w:t>ой</w:t>
      </w:r>
      <w:r w:rsidR="00A84F61" w:rsidRPr="00A84F61">
        <w:rPr>
          <w:rFonts w:ascii="Times New Roman" w:hAnsi="Times New Roman"/>
          <w:sz w:val="28"/>
          <w:szCs w:val="28"/>
        </w:rPr>
        <w:t xml:space="preserve"> компетенци</w:t>
      </w:r>
      <w:r w:rsidR="007F0360">
        <w:rPr>
          <w:rFonts w:ascii="Times New Roman" w:hAnsi="Times New Roman"/>
          <w:sz w:val="28"/>
          <w:szCs w:val="28"/>
        </w:rPr>
        <w:t>и</w:t>
      </w:r>
      <w:r w:rsidR="00A84F61" w:rsidRPr="00A84F61">
        <w:rPr>
          <w:rFonts w:ascii="Times New Roman" w:hAnsi="Times New Roman"/>
          <w:sz w:val="28"/>
          <w:szCs w:val="28"/>
        </w:rPr>
        <w:t xml:space="preserve">), </w:t>
      </w:r>
      <w:r w:rsidR="007F0360">
        <w:rPr>
          <w:rFonts w:ascii="Times New Roman" w:hAnsi="Times New Roman"/>
          <w:sz w:val="28"/>
          <w:szCs w:val="28"/>
        </w:rPr>
        <w:t>в</w:t>
      </w:r>
      <w:r w:rsidR="00A84F61" w:rsidRPr="00A84F61">
        <w:rPr>
          <w:rFonts w:ascii="Times New Roman" w:hAnsi="Times New Roman"/>
          <w:sz w:val="28"/>
          <w:szCs w:val="28"/>
        </w:rPr>
        <w:t xml:space="preserve">ыделение основной и дополнительной информации текста, владение приёмами работы с разнообразными информационными источниками, </w:t>
      </w:r>
      <w:r w:rsidR="007F0360">
        <w:rPr>
          <w:rFonts w:ascii="Times New Roman" w:hAnsi="Times New Roman"/>
          <w:sz w:val="28"/>
          <w:szCs w:val="28"/>
        </w:rPr>
        <w:t>о</w:t>
      </w:r>
      <w:r w:rsidR="00A84F61" w:rsidRPr="00A84F61">
        <w:rPr>
          <w:rFonts w:ascii="Times New Roman" w:hAnsi="Times New Roman"/>
          <w:sz w:val="28"/>
          <w:szCs w:val="28"/>
        </w:rPr>
        <w:t>тбор необходимого содержания и выражение его в жанре сообщения</w:t>
      </w:r>
      <w:r w:rsidR="007F0360">
        <w:rPr>
          <w:rFonts w:ascii="Times New Roman" w:hAnsi="Times New Roman"/>
          <w:sz w:val="28"/>
          <w:szCs w:val="28"/>
        </w:rPr>
        <w:t xml:space="preserve"> (ключевая коммуникативная</w:t>
      </w:r>
      <w:proofErr w:type="gramEnd"/>
      <w:r w:rsidR="007F0360">
        <w:rPr>
          <w:rFonts w:ascii="Times New Roman" w:hAnsi="Times New Roman"/>
          <w:sz w:val="28"/>
          <w:szCs w:val="28"/>
        </w:rPr>
        <w:t xml:space="preserve"> компетенция).</w:t>
      </w:r>
    </w:p>
    <w:p w:rsidR="008833D0" w:rsidRDefault="008833D0" w:rsidP="008833D0">
      <w:pPr>
        <w:tabs>
          <w:tab w:val="left" w:pos="70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7DCD"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предполагал индивидуальный проектный продукт в виде подготовленного текста</w:t>
      </w:r>
      <w:r w:rsidRPr="00F17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F17DCD">
        <w:rPr>
          <w:rFonts w:ascii="Times New Roman" w:hAnsi="Times New Roman"/>
          <w:sz w:val="28"/>
          <w:szCs w:val="28"/>
        </w:rPr>
        <w:t>ообщени</w:t>
      </w:r>
      <w:r>
        <w:rPr>
          <w:rFonts w:ascii="Times New Roman" w:hAnsi="Times New Roman"/>
          <w:sz w:val="28"/>
          <w:szCs w:val="28"/>
        </w:rPr>
        <w:t>я</w:t>
      </w:r>
      <w:r w:rsidRPr="00F17DCD">
        <w:rPr>
          <w:rFonts w:ascii="Times New Roman" w:hAnsi="Times New Roman"/>
          <w:sz w:val="28"/>
          <w:szCs w:val="28"/>
        </w:rPr>
        <w:t xml:space="preserve"> учебно-научного или научно-популярного </w:t>
      </w:r>
      <w:proofErr w:type="spellStart"/>
      <w:r w:rsidRPr="00F17DCD">
        <w:rPr>
          <w:rFonts w:ascii="Times New Roman" w:hAnsi="Times New Roman"/>
          <w:sz w:val="28"/>
          <w:szCs w:val="28"/>
        </w:rPr>
        <w:t>подстиля</w:t>
      </w:r>
      <w:proofErr w:type="spellEnd"/>
      <w:r w:rsidRPr="00F17DCD">
        <w:rPr>
          <w:rFonts w:ascii="Times New Roman" w:hAnsi="Times New Roman"/>
          <w:sz w:val="28"/>
          <w:szCs w:val="28"/>
        </w:rPr>
        <w:t xml:space="preserve"> научного стиля речи </w:t>
      </w:r>
      <w:r>
        <w:rPr>
          <w:rFonts w:ascii="Times New Roman" w:hAnsi="Times New Roman"/>
          <w:sz w:val="28"/>
          <w:szCs w:val="28"/>
        </w:rPr>
        <w:t>в письменной форме и его последующее</w:t>
      </w:r>
      <w:r w:rsidRPr="00F17D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17DCD">
        <w:rPr>
          <w:rFonts w:ascii="Times New Roman" w:hAnsi="Times New Roman"/>
          <w:sz w:val="28"/>
          <w:szCs w:val="28"/>
        </w:rPr>
        <w:t>редъявление в устной форме на уроке.</w:t>
      </w:r>
      <w:r>
        <w:rPr>
          <w:rFonts w:ascii="Times New Roman" w:hAnsi="Times New Roman"/>
          <w:sz w:val="28"/>
          <w:szCs w:val="28"/>
        </w:rPr>
        <w:t xml:space="preserve"> Таким образом, </w:t>
      </w:r>
      <w:r w:rsidR="00C353F5">
        <w:rPr>
          <w:rFonts w:ascii="Times New Roman" w:hAnsi="Times New Roman"/>
          <w:sz w:val="28"/>
          <w:szCs w:val="28"/>
        </w:rPr>
        <w:t xml:space="preserve">на </w:t>
      </w:r>
      <w:r w:rsidR="00C353F5">
        <w:rPr>
          <w:rFonts w:ascii="Times New Roman" w:hAnsi="Times New Roman"/>
          <w:b/>
          <w:sz w:val="28"/>
          <w:szCs w:val="28"/>
        </w:rPr>
        <w:t xml:space="preserve">третьем этапе </w:t>
      </w:r>
      <w:r w:rsidR="00C353F5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мы имели возможность </w:t>
      </w:r>
      <w:r w:rsidR="00C353F5">
        <w:rPr>
          <w:rFonts w:ascii="Times New Roman" w:hAnsi="Times New Roman"/>
          <w:sz w:val="28"/>
          <w:szCs w:val="28"/>
        </w:rPr>
        <w:t>развивать</w:t>
      </w:r>
      <w:r>
        <w:rPr>
          <w:rFonts w:ascii="Times New Roman" w:hAnsi="Times New Roman"/>
          <w:sz w:val="28"/>
          <w:szCs w:val="28"/>
        </w:rPr>
        <w:t xml:space="preserve"> не только умени</w:t>
      </w:r>
      <w:r w:rsidR="00C353F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связанны</w:t>
      </w:r>
      <w:r w:rsidR="00C353F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 построением монологического текста, но и умения предъявлять текст в ситуации учебного общения. Тематика работ не ограничивалась: учащиеся могли подготовить сообщение по любому учебному предмету, предварительно согласовав его с учителем, чтобы иметь возможность выступить на одном из ближайших учебных занятий. Такой подход к выбору темы помогал учащимся осознать универсальность умений, осваиваемых в процессе реализации проекта, актуализировать полученные знания и способы деятельности за пределами урока русского языка. </w:t>
      </w:r>
    </w:p>
    <w:p w:rsidR="008833D0" w:rsidRPr="00D466E8" w:rsidRDefault="008833D0" w:rsidP="008833D0">
      <w:pPr>
        <w:tabs>
          <w:tab w:val="left" w:pos="709"/>
        </w:tabs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сам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взаимооценки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учащимися совместно с педагогом был разработан лист оценивания устного учебного сообщения. Первые четыре критерия (содержание, построение, языковое оформление и исполнение) непосредственно связаны с коммуникативными умениями, которые демонстрируют учащиеся, представляя классу устный текст сообщения. Использование дополнительных средств – критерий, оценивающий как </w:t>
      </w:r>
      <w:r>
        <w:rPr>
          <w:rFonts w:ascii="Times New Roman" w:hAnsi="Times New Roman"/>
          <w:sz w:val="28"/>
          <w:szCs w:val="28"/>
        </w:rPr>
        <w:lastRenderedPageBreak/>
        <w:t>коммуникативные умения, так и умения, составляющие информационную компетенцию выступающего</w:t>
      </w:r>
      <w:r w:rsidR="00C353F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353F5">
        <w:rPr>
          <w:rFonts w:ascii="Times New Roman" w:hAnsi="Times New Roman"/>
          <w:sz w:val="28"/>
          <w:szCs w:val="28"/>
        </w:rPr>
        <w:t>см</w:t>
      </w:r>
      <w:proofErr w:type="gramEnd"/>
      <w:r w:rsidR="00C353F5">
        <w:rPr>
          <w:rFonts w:ascii="Times New Roman" w:hAnsi="Times New Roman"/>
          <w:sz w:val="28"/>
          <w:szCs w:val="28"/>
        </w:rPr>
        <w:t>. табл. 2)</w:t>
      </w:r>
      <w:r>
        <w:rPr>
          <w:rFonts w:ascii="Times New Roman" w:hAnsi="Times New Roman"/>
          <w:sz w:val="28"/>
          <w:szCs w:val="28"/>
        </w:rPr>
        <w:t>.</w:t>
      </w:r>
    </w:p>
    <w:p w:rsidR="008833D0" w:rsidRPr="0029497B" w:rsidRDefault="008833D0" w:rsidP="008833D0">
      <w:pPr>
        <w:tabs>
          <w:tab w:val="left" w:pos="709"/>
        </w:tabs>
        <w:spacing w:after="0" w:line="360" w:lineRule="auto"/>
        <w:ind w:firstLine="851"/>
        <w:jc w:val="right"/>
        <w:rPr>
          <w:rFonts w:ascii="Times New Roman" w:hAnsi="Times New Roman"/>
          <w:i/>
          <w:sz w:val="28"/>
          <w:szCs w:val="28"/>
        </w:rPr>
      </w:pPr>
      <w:r w:rsidRPr="0029497B">
        <w:rPr>
          <w:rFonts w:ascii="Times New Roman" w:hAnsi="Times New Roman"/>
          <w:i/>
          <w:sz w:val="28"/>
          <w:szCs w:val="28"/>
        </w:rPr>
        <w:t xml:space="preserve">Таблица </w:t>
      </w:r>
      <w:r w:rsidR="00C353F5">
        <w:rPr>
          <w:rFonts w:ascii="Times New Roman" w:hAnsi="Times New Roman"/>
          <w:i/>
          <w:sz w:val="28"/>
          <w:szCs w:val="28"/>
        </w:rPr>
        <w:t>2</w:t>
      </w:r>
    </w:p>
    <w:p w:rsidR="008833D0" w:rsidRPr="00A84F61" w:rsidRDefault="008833D0" w:rsidP="00A84F6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F61">
        <w:rPr>
          <w:rFonts w:ascii="Times New Roman" w:hAnsi="Times New Roman"/>
          <w:b/>
          <w:sz w:val="28"/>
          <w:szCs w:val="28"/>
        </w:rPr>
        <w:t>Лист оценивания выступления в жанре сообщения</w:t>
      </w:r>
    </w:p>
    <w:tbl>
      <w:tblPr>
        <w:tblW w:w="9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669"/>
        <w:gridCol w:w="2551"/>
        <w:gridCol w:w="2410"/>
      </w:tblGrid>
      <w:tr w:rsidR="008833D0" w:rsidTr="0000169E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теме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5F5">
              <w:rPr>
                <w:rFonts w:ascii="Times New Roman" w:hAnsi="Times New Roman"/>
                <w:sz w:val="24"/>
                <w:szCs w:val="24"/>
              </w:rPr>
              <w:t>Занимательность</w:t>
            </w:r>
          </w:p>
        </w:tc>
      </w:tr>
      <w:tr w:rsidR="008833D0" w:rsidTr="0000169E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Построение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особенностям жанра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Обоснованность композиции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Логичность изложения мысли</w:t>
            </w:r>
          </w:p>
        </w:tc>
      </w:tr>
      <w:tr w:rsidR="008833D0" w:rsidTr="0000169E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Языковое оформление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стилистическим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Продуманность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язи предложений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Богатство словаря и грамматического строя</w:t>
            </w:r>
          </w:p>
        </w:tc>
      </w:tr>
      <w:tr w:rsidR="008833D0" w:rsidTr="0000169E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привлечь внимание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слушающих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удержать внимание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слушающих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требованиям регламента</w:t>
            </w:r>
          </w:p>
        </w:tc>
      </w:tr>
      <w:tr w:rsidR="008833D0" w:rsidTr="0000169E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3D0" w:rsidTr="0000169E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дополнительных средств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источников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Уместность использования</w:t>
            </w:r>
          </w:p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наглядности (схем, таблиц, фотографий, слайдовых презентаций и т.п.)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3D0" w:rsidRDefault="008833D0" w:rsidP="00A84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Грамотность использования наглядности (схем, таблиц, фотографий, слайдовых презентаций и т.п.)</w:t>
            </w:r>
          </w:p>
        </w:tc>
      </w:tr>
    </w:tbl>
    <w:p w:rsidR="008833D0" w:rsidRPr="005A05F5" w:rsidRDefault="008833D0" w:rsidP="008833D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05F5">
        <w:rPr>
          <w:rFonts w:ascii="Times New Roman" w:hAnsi="Times New Roman"/>
          <w:sz w:val="24"/>
          <w:szCs w:val="24"/>
        </w:rPr>
        <w:t xml:space="preserve">2 – полное соответствие  </w:t>
      </w:r>
    </w:p>
    <w:p w:rsidR="008833D0" w:rsidRPr="005A05F5" w:rsidRDefault="008833D0" w:rsidP="008833D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05F5">
        <w:rPr>
          <w:rFonts w:ascii="Times New Roman" w:hAnsi="Times New Roman"/>
          <w:sz w:val="24"/>
          <w:szCs w:val="24"/>
        </w:rPr>
        <w:t xml:space="preserve">1 – частичное соответствие </w:t>
      </w:r>
    </w:p>
    <w:p w:rsidR="008833D0" w:rsidRPr="005A05F5" w:rsidRDefault="008833D0" w:rsidP="008833D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A05F5">
        <w:rPr>
          <w:rFonts w:ascii="Times New Roman" w:hAnsi="Times New Roman"/>
          <w:sz w:val="24"/>
          <w:szCs w:val="24"/>
        </w:rPr>
        <w:t>0 – не соответствует</w:t>
      </w:r>
    </w:p>
    <w:p w:rsidR="007F0360" w:rsidRDefault="00A84F61" w:rsidP="007F0360">
      <w:pPr>
        <w:tabs>
          <w:tab w:val="left" w:pos="709"/>
        </w:tabs>
        <w:spacing w:before="240"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предъявления составленного текста в учебной ситуации, публично в устной форме позволила отследить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 учащихся, связанных с устной коммуникацией, а именно, отбирать необходимое содержание и выражать его в жанре устной речи, с</w:t>
      </w:r>
      <w:r w:rsidRPr="00D466E8">
        <w:rPr>
          <w:rFonts w:ascii="Times New Roman" w:hAnsi="Times New Roman"/>
          <w:sz w:val="28"/>
          <w:szCs w:val="28"/>
        </w:rPr>
        <w:t>оздавать устн</w:t>
      </w:r>
      <w:r>
        <w:rPr>
          <w:rFonts w:ascii="Times New Roman" w:hAnsi="Times New Roman"/>
          <w:sz w:val="28"/>
          <w:szCs w:val="28"/>
        </w:rPr>
        <w:t>ое</w:t>
      </w:r>
      <w:r w:rsidRPr="00D466E8">
        <w:rPr>
          <w:rFonts w:ascii="Times New Roman" w:hAnsi="Times New Roman"/>
          <w:sz w:val="28"/>
          <w:szCs w:val="28"/>
        </w:rPr>
        <w:t xml:space="preserve"> монологическ</w:t>
      </w:r>
      <w:r>
        <w:rPr>
          <w:rFonts w:ascii="Times New Roman" w:hAnsi="Times New Roman"/>
          <w:sz w:val="28"/>
          <w:szCs w:val="28"/>
        </w:rPr>
        <w:t>ое</w:t>
      </w:r>
      <w:r w:rsidRPr="00D466E8">
        <w:rPr>
          <w:rFonts w:ascii="Times New Roman" w:hAnsi="Times New Roman"/>
          <w:sz w:val="28"/>
          <w:szCs w:val="28"/>
        </w:rPr>
        <w:t xml:space="preserve"> высказывани</w:t>
      </w:r>
      <w:r>
        <w:rPr>
          <w:rFonts w:ascii="Times New Roman" w:hAnsi="Times New Roman"/>
          <w:sz w:val="28"/>
          <w:szCs w:val="28"/>
        </w:rPr>
        <w:t>е</w:t>
      </w:r>
      <w:r w:rsidRPr="00D466E8">
        <w:rPr>
          <w:rFonts w:ascii="Times New Roman" w:hAnsi="Times New Roman"/>
          <w:sz w:val="28"/>
          <w:szCs w:val="28"/>
        </w:rPr>
        <w:t xml:space="preserve"> учебно-научной тематики и редактировать </w:t>
      </w:r>
      <w:r>
        <w:rPr>
          <w:rFonts w:ascii="Times New Roman" w:hAnsi="Times New Roman"/>
          <w:sz w:val="28"/>
          <w:szCs w:val="28"/>
        </w:rPr>
        <w:t>его</w:t>
      </w:r>
      <w:r w:rsidRPr="00D466E8">
        <w:rPr>
          <w:rFonts w:ascii="Times New Roman" w:hAnsi="Times New Roman"/>
          <w:sz w:val="28"/>
          <w:szCs w:val="28"/>
        </w:rPr>
        <w:t xml:space="preserve"> с учётом особенностей коммуникативной ситуации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833D0" w:rsidRPr="00A84F61" w:rsidRDefault="00A84F61" w:rsidP="00A84F61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Библиографический список</w:t>
      </w:r>
    </w:p>
    <w:p w:rsidR="00A84F61" w:rsidRDefault="00A84F61" w:rsidP="00A84F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E799E" w:rsidRPr="00A84F61">
        <w:rPr>
          <w:rFonts w:ascii="Times New Roman" w:hAnsi="Times New Roman" w:cs="Times New Roman"/>
          <w:sz w:val="24"/>
          <w:szCs w:val="24"/>
        </w:rPr>
        <w:t xml:space="preserve">Николаенко И.В. Обучение устному научному сообщению в VI-VII классах общеобразовательной школы: Учебное сообщение; Научно-популярное сообщение : </w:t>
      </w:r>
      <w:proofErr w:type="spellStart"/>
      <w:r w:rsidR="002E799E" w:rsidRPr="00A84F61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="002E799E" w:rsidRPr="00A84F61">
        <w:rPr>
          <w:rFonts w:ascii="Times New Roman" w:hAnsi="Times New Roman" w:cs="Times New Roman"/>
          <w:sz w:val="24"/>
          <w:szCs w:val="24"/>
        </w:rPr>
        <w:t>. по спец. 13.00.02 / Николаенко И.В., И.В.Николаенко</w:t>
      </w:r>
      <w:proofErr w:type="gramStart"/>
      <w:r w:rsidR="002E799E" w:rsidRPr="00A84F6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E799E" w:rsidRPr="00A84F61">
        <w:rPr>
          <w:rFonts w:ascii="Times New Roman" w:hAnsi="Times New Roman" w:cs="Times New Roman"/>
          <w:sz w:val="24"/>
          <w:szCs w:val="24"/>
        </w:rPr>
        <w:t>- Минск : ***, 1998 .- 19c.</w:t>
      </w:r>
    </w:p>
    <w:p w:rsidR="002E799E" w:rsidRDefault="00A84F61" w:rsidP="00A84F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E799E" w:rsidRPr="00A84F61"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Русский язык. 5-9 классы: проект. – 2-е изд. – М.: Просвещение, 2010. – 112 </w:t>
      </w:r>
      <w:proofErr w:type="gramStart"/>
      <w:r w:rsidR="002E799E" w:rsidRPr="00A84F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E799E" w:rsidRPr="00A84F61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7F0360" w:rsidRPr="007F0360" w:rsidRDefault="007F0360" w:rsidP="00A84F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360">
        <w:rPr>
          <w:rFonts w:ascii="Times New Roman" w:hAnsi="Times New Roman"/>
          <w:sz w:val="24"/>
          <w:szCs w:val="24"/>
        </w:rPr>
        <w:t>3. Хуторской А.В. Ключевые компетенции и образовательные стандарты // Интернет-журнал "</w:t>
      </w:r>
      <w:proofErr w:type="spellStart"/>
      <w:r w:rsidRPr="007F0360">
        <w:rPr>
          <w:rFonts w:ascii="Times New Roman" w:hAnsi="Times New Roman"/>
          <w:sz w:val="24"/>
          <w:szCs w:val="24"/>
        </w:rPr>
        <w:t>Эйдос</w:t>
      </w:r>
      <w:proofErr w:type="spellEnd"/>
      <w:r w:rsidRPr="007F0360">
        <w:rPr>
          <w:rFonts w:ascii="Times New Roman" w:hAnsi="Times New Roman"/>
          <w:sz w:val="24"/>
          <w:szCs w:val="24"/>
        </w:rPr>
        <w:t xml:space="preserve">". - 2002. - 23 апреля. http://eidos.ru/journal/2002/0423.htm . - В </w:t>
      </w:r>
      <w:proofErr w:type="spellStart"/>
      <w:r w:rsidRPr="007F0360">
        <w:rPr>
          <w:rFonts w:ascii="Times New Roman" w:hAnsi="Times New Roman"/>
          <w:sz w:val="24"/>
          <w:szCs w:val="24"/>
        </w:rPr>
        <w:t>надзаг</w:t>
      </w:r>
      <w:proofErr w:type="spellEnd"/>
      <w:r w:rsidRPr="007F0360">
        <w:rPr>
          <w:rFonts w:ascii="Times New Roman" w:hAnsi="Times New Roman"/>
          <w:sz w:val="24"/>
          <w:szCs w:val="24"/>
        </w:rPr>
        <w:t>: Центр дистанционного образования "</w:t>
      </w:r>
      <w:proofErr w:type="spellStart"/>
      <w:r w:rsidRPr="007F0360">
        <w:rPr>
          <w:rFonts w:ascii="Times New Roman" w:hAnsi="Times New Roman"/>
          <w:sz w:val="24"/>
          <w:szCs w:val="24"/>
        </w:rPr>
        <w:t>Эйдос</w:t>
      </w:r>
      <w:proofErr w:type="spellEnd"/>
      <w:r w:rsidRPr="007F0360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7F0360">
        <w:rPr>
          <w:rFonts w:ascii="Times New Roman" w:hAnsi="Times New Roman"/>
          <w:sz w:val="24"/>
          <w:szCs w:val="24"/>
        </w:rPr>
        <w:t>e-mail</w:t>
      </w:r>
      <w:proofErr w:type="spellEnd"/>
      <w:r w:rsidRPr="007F0360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7F0360">
          <w:rPr>
            <w:rStyle w:val="a7"/>
            <w:rFonts w:ascii="Times New Roman" w:hAnsi="Times New Roman"/>
            <w:sz w:val="24"/>
            <w:szCs w:val="24"/>
          </w:rPr>
          <w:t>list@eidos.ru</w:t>
        </w:r>
      </w:hyperlink>
      <w:r w:rsidRPr="007F0360">
        <w:rPr>
          <w:rFonts w:ascii="Times New Roman" w:hAnsi="Times New Roman"/>
          <w:sz w:val="24"/>
          <w:szCs w:val="24"/>
        </w:rPr>
        <w:t>.</w:t>
      </w:r>
    </w:p>
    <w:sectPr w:rsidR="007F0360" w:rsidRPr="007F0360" w:rsidSect="00827A2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22"/>
    <w:rsid w:val="000B40A9"/>
    <w:rsid w:val="002E799E"/>
    <w:rsid w:val="0032620C"/>
    <w:rsid w:val="0041083E"/>
    <w:rsid w:val="004D765B"/>
    <w:rsid w:val="006379E7"/>
    <w:rsid w:val="00661CDF"/>
    <w:rsid w:val="00673DE0"/>
    <w:rsid w:val="007F0354"/>
    <w:rsid w:val="007F0360"/>
    <w:rsid w:val="00827A22"/>
    <w:rsid w:val="008451DE"/>
    <w:rsid w:val="008833D0"/>
    <w:rsid w:val="00A566A7"/>
    <w:rsid w:val="00A84F61"/>
    <w:rsid w:val="00AC5333"/>
    <w:rsid w:val="00C07A15"/>
    <w:rsid w:val="00C353F5"/>
    <w:rsid w:val="00C37F60"/>
    <w:rsid w:val="00E00BAC"/>
    <w:rsid w:val="00EE4956"/>
    <w:rsid w:val="00F6182B"/>
    <w:rsid w:val="00FA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3D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8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und">
    <w:name w:val="found"/>
    <w:basedOn w:val="a0"/>
    <w:rsid w:val="008833D0"/>
  </w:style>
  <w:style w:type="character" w:styleId="a5">
    <w:name w:val="Subtle Emphasis"/>
    <w:basedOn w:val="a0"/>
    <w:uiPriority w:val="19"/>
    <w:qFormat/>
    <w:rsid w:val="008833D0"/>
    <w:rPr>
      <w:i/>
      <w:iCs/>
      <w:color w:val="808080"/>
    </w:rPr>
  </w:style>
  <w:style w:type="character" w:customStyle="1" w:styleId="apple-converted-space">
    <w:name w:val="apple-converted-space"/>
    <w:basedOn w:val="a0"/>
    <w:rsid w:val="008833D0"/>
  </w:style>
  <w:style w:type="paragraph" w:styleId="a6">
    <w:name w:val="List Paragraph"/>
    <w:basedOn w:val="a"/>
    <w:uiPriority w:val="34"/>
    <w:qFormat/>
    <w:rsid w:val="00A84F61"/>
    <w:pPr>
      <w:ind w:left="720"/>
      <w:contextualSpacing/>
    </w:pPr>
  </w:style>
  <w:style w:type="character" w:styleId="a7">
    <w:name w:val="Hyperlink"/>
    <w:basedOn w:val="a0"/>
    <w:uiPriority w:val="99"/>
    <w:rsid w:val="007F03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t@eid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</dc:creator>
  <cp:keywords/>
  <dc:description/>
  <cp:lastModifiedBy>Ферзевый Гамбит</cp:lastModifiedBy>
  <cp:revision>2</cp:revision>
  <dcterms:created xsi:type="dcterms:W3CDTF">2017-06-22T04:10:00Z</dcterms:created>
  <dcterms:modified xsi:type="dcterms:W3CDTF">2017-06-22T04:10:00Z</dcterms:modified>
</cp:coreProperties>
</file>